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A82" w:rsidRPr="00BC2A82" w:rsidRDefault="00BC2A82" w:rsidP="00BC2A8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A82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proofErr w:type="gramStart"/>
      <w:r w:rsidRPr="00BC2A82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BC2A82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BC2A82" w:rsidRPr="00BC2A82" w:rsidRDefault="00BC2A82" w:rsidP="00BC2A8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A82">
        <w:rPr>
          <w:rFonts w:ascii="Times New Roman" w:hAnsi="Times New Roman" w:cs="Times New Roman"/>
          <w:b/>
          <w:sz w:val="28"/>
          <w:szCs w:val="28"/>
        </w:rPr>
        <w:t>«Обеспечение экологической безопасности вНижневартовском районе на 2018–2025 годы и на период до 2030 года»</w:t>
      </w:r>
    </w:p>
    <w:p w:rsidR="00BC2A82" w:rsidRPr="00BC2A82" w:rsidRDefault="00BC2A82" w:rsidP="00BC2A8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jc w:val="center"/>
        <w:tblLook w:val="01E0"/>
      </w:tblPr>
      <w:tblGrid>
        <w:gridCol w:w="3871"/>
        <w:gridCol w:w="425"/>
        <w:gridCol w:w="5712"/>
      </w:tblGrid>
      <w:tr w:rsidR="00BC2A82" w:rsidRPr="00BC2A82" w:rsidTr="00FE2321">
        <w:trPr>
          <w:jc w:val="center"/>
        </w:trPr>
        <w:tc>
          <w:tcPr>
            <w:tcW w:w="3871" w:type="dxa"/>
            <w:hideMark/>
          </w:tcPr>
          <w:p w:rsidR="00BC2A82" w:rsidRPr="00BC2A82" w:rsidRDefault="00BC2A82" w:rsidP="00BC2A82">
            <w:pPr>
              <w:spacing w:line="240" w:lineRule="auto"/>
              <w:ind w:right="-9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proofErr w:type="gramEnd"/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«Обеспечение экологической безопасности вНижневартовском районе на 2018–2025 годы и на период до 2030 года»</w:t>
            </w:r>
          </w:p>
        </w:tc>
      </w:tr>
      <w:tr w:rsidR="00BC2A82" w:rsidRPr="00BC2A82" w:rsidTr="00FE2321">
        <w:trPr>
          <w:trHeight w:val="80"/>
          <w:jc w:val="center"/>
        </w:trPr>
        <w:tc>
          <w:tcPr>
            <w:tcW w:w="3871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A82" w:rsidRPr="00BC2A82" w:rsidTr="00FE2321">
        <w:trPr>
          <w:jc w:val="center"/>
        </w:trPr>
        <w:tc>
          <w:tcPr>
            <w:tcW w:w="3871" w:type="dxa"/>
            <w:hideMark/>
          </w:tcPr>
          <w:p w:rsidR="00BC2A82" w:rsidRPr="00BC2A82" w:rsidRDefault="00BC2A82" w:rsidP="00BC2A82">
            <w:pPr>
              <w:spacing w:line="240" w:lineRule="auto"/>
              <w:ind w:right="-9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C2A8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управление экологии и природопользования администрации района</w:t>
            </w:r>
          </w:p>
        </w:tc>
      </w:tr>
      <w:tr w:rsidR="00BC2A82" w:rsidRPr="00BC2A82" w:rsidTr="00FE2321">
        <w:trPr>
          <w:jc w:val="center"/>
        </w:trPr>
        <w:tc>
          <w:tcPr>
            <w:tcW w:w="3871" w:type="dxa"/>
          </w:tcPr>
          <w:p w:rsidR="00BC2A82" w:rsidRPr="00BC2A82" w:rsidRDefault="00BC2A82" w:rsidP="00BC2A82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A82" w:rsidRPr="00BC2A82" w:rsidTr="00FE2321">
        <w:trPr>
          <w:jc w:val="center"/>
        </w:trPr>
        <w:tc>
          <w:tcPr>
            <w:tcW w:w="3871" w:type="dxa"/>
            <w:hideMark/>
          </w:tcPr>
          <w:p w:rsidR="00BC2A82" w:rsidRPr="00BC2A82" w:rsidRDefault="00BC2A82" w:rsidP="00BC2A82">
            <w:pPr>
              <w:spacing w:line="240" w:lineRule="auto"/>
              <w:ind w:right="-9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C2A8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отдел жилищно-коммунального хозяйства, энергетики и строительства администрации района;</w:t>
            </w:r>
          </w:p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администрации района; </w:t>
            </w:r>
          </w:p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и молодежной политики администрации района; </w:t>
            </w:r>
          </w:p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Нижневартовского района «Управление имущественными и земельными ресурсами»; </w:t>
            </w:r>
          </w:p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застройке Нижневартовского района;</w:t>
            </w:r>
          </w:p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городских и сельских поселений района (по согласованию)</w:t>
            </w:r>
          </w:p>
        </w:tc>
      </w:tr>
      <w:tr w:rsidR="00BC2A82" w:rsidRPr="00BC2A82" w:rsidTr="00FE2321">
        <w:trPr>
          <w:trHeight w:val="233"/>
          <w:jc w:val="center"/>
        </w:trPr>
        <w:tc>
          <w:tcPr>
            <w:tcW w:w="3871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A82" w:rsidRPr="00BC2A82" w:rsidTr="00FE2321">
        <w:trPr>
          <w:jc w:val="center"/>
        </w:trPr>
        <w:tc>
          <w:tcPr>
            <w:tcW w:w="3871" w:type="dxa"/>
            <w:hideMark/>
          </w:tcPr>
          <w:p w:rsidR="00BC2A82" w:rsidRPr="00BC2A82" w:rsidRDefault="00BC2A82" w:rsidP="00BC2A82">
            <w:pPr>
              <w:spacing w:line="240" w:lineRule="auto"/>
              <w:ind w:right="-9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712" w:type="dxa"/>
            <w:hideMark/>
          </w:tcPr>
          <w:p w:rsidR="00BC2A82" w:rsidRPr="00BC2A82" w:rsidRDefault="00BC2A82" w:rsidP="00BC2A8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сохранение благоприятной окружающей среды и биологического разнообразия в интересах настоящего и будущих поколений</w:t>
            </w:r>
          </w:p>
        </w:tc>
      </w:tr>
      <w:tr w:rsidR="00BC2A82" w:rsidRPr="00BC2A82" w:rsidTr="00FE2321">
        <w:trPr>
          <w:jc w:val="center"/>
        </w:trPr>
        <w:tc>
          <w:tcPr>
            <w:tcW w:w="3871" w:type="dxa"/>
          </w:tcPr>
          <w:p w:rsidR="00BC2A82" w:rsidRPr="00BC2A82" w:rsidRDefault="00BC2A82" w:rsidP="00BC2A82">
            <w:pPr>
              <w:spacing w:line="240" w:lineRule="auto"/>
              <w:ind w:right="-9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712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A82" w:rsidRPr="00BC2A82" w:rsidTr="00FE2321">
        <w:trPr>
          <w:jc w:val="center"/>
        </w:trPr>
        <w:tc>
          <w:tcPr>
            <w:tcW w:w="3871" w:type="dxa"/>
            <w:hideMark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BC2A82" w:rsidRPr="00BC2A82" w:rsidRDefault="00BC2A82" w:rsidP="00BC2A8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снижение уровня негативного воздействия факторов техногенного и природного характера на окружающую среду и ее компоненты</w:t>
            </w:r>
          </w:p>
        </w:tc>
      </w:tr>
      <w:tr w:rsidR="00BC2A82" w:rsidRPr="00BC2A82" w:rsidTr="00FE2321">
        <w:trPr>
          <w:jc w:val="center"/>
        </w:trPr>
        <w:tc>
          <w:tcPr>
            <w:tcW w:w="3871" w:type="dxa"/>
          </w:tcPr>
          <w:p w:rsidR="00BC2A82" w:rsidRPr="00BC2A82" w:rsidRDefault="00BC2A82" w:rsidP="00BC2A82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BC2A82" w:rsidRPr="00BC2A82" w:rsidRDefault="00BC2A82" w:rsidP="00BC2A82">
            <w:pPr>
              <w:autoSpaceDE w:val="0"/>
              <w:autoSpaceDN w:val="0"/>
              <w:adjustRightInd w:val="0"/>
              <w:spacing w:line="240" w:lineRule="auto"/>
              <w:ind w:firstLine="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A82" w:rsidRPr="00BC2A82" w:rsidTr="00FE2321">
        <w:trPr>
          <w:jc w:val="center"/>
        </w:trPr>
        <w:tc>
          <w:tcPr>
            <w:tcW w:w="3871" w:type="dxa"/>
            <w:hideMark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Подпрограммы или основные мероприятия</w:t>
            </w: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C2A82" w:rsidRPr="00BC2A82" w:rsidTr="00FE2321">
        <w:trPr>
          <w:jc w:val="center"/>
        </w:trPr>
        <w:tc>
          <w:tcPr>
            <w:tcW w:w="3871" w:type="dxa"/>
            <w:hideMark/>
          </w:tcPr>
          <w:p w:rsidR="00BC2A82" w:rsidRPr="00BC2A82" w:rsidRDefault="00BC2A82" w:rsidP="00BC2A82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C2A8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BC2A82" w:rsidRPr="00BC2A82" w:rsidRDefault="00BC2A82" w:rsidP="00BC2A8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проведения эколого-просветительских и природоохранных мероприятий с 145 единиц до 210 единиц;</w:t>
            </w:r>
          </w:p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доля населения, вовлеченного в экологические мероприятия, от общего числа жителей района с 14 процентов до 39 процентов;</w:t>
            </w:r>
          </w:p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 xml:space="preserve">доля ликвидированных и </w:t>
            </w:r>
            <w:r w:rsidRPr="00BC2A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рекультивированных мест захламления отходами, от общего количества выявленных мест захламления отходами 100 процентов;</w:t>
            </w:r>
          </w:p>
          <w:p w:rsidR="00BC2A82" w:rsidRPr="00BC2A82" w:rsidRDefault="00BC2A82" w:rsidP="00BC2A8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эффективность осуществления отдельных государственных полномочий Ханты-Мансийского автономного округа – Югры в сфере обращения с твердыми коммунальными отходами 100 процентов;</w:t>
            </w:r>
          </w:p>
          <w:p w:rsidR="00BC2A82" w:rsidRPr="00BC2A82" w:rsidRDefault="00BC2A82" w:rsidP="00BC2A8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эффективность расходования бюджетных средств 100 процентов</w:t>
            </w:r>
          </w:p>
        </w:tc>
      </w:tr>
      <w:tr w:rsidR="00BC2A82" w:rsidRPr="00BC2A82" w:rsidTr="00FE2321">
        <w:trPr>
          <w:jc w:val="center"/>
        </w:trPr>
        <w:tc>
          <w:tcPr>
            <w:tcW w:w="3871" w:type="dxa"/>
          </w:tcPr>
          <w:p w:rsidR="00BC2A82" w:rsidRPr="00BC2A82" w:rsidRDefault="00BC2A82" w:rsidP="00BC2A82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A82" w:rsidRPr="00BC2A82" w:rsidTr="00FE2321">
        <w:trPr>
          <w:jc w:val="center"/>
        </w:trPr>
        <w:tc>
          <w:tcPr>
            <w:tcW w:w="3871" w:type="dxa"/>
            <w:hideMark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2018–2025 годы и на период до 2030 года</w:t>
            </w:r>
          </w:p>
        </w:tc>
      </w:tr>
      <w:tr w:rsidR="00BC2A82" w:rsidRPr="00BC2A82" w:rsidTr="00FE2321">
        <w:trPr>
          <w:jc w:val="center"/>
        </w:trPr>
        <w:tc>
          <w:tcPr>
            <w:tcW w:w="3871" w:type="dxa"/>
          </w:tcPr>
          <w:p w:rsidR="00BC2A82" w:rsidRPr="00BC2A82" w:rsidRDefault="00BC2A82" w:rsidP="00BC2A82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A82" w:rsidRPr="00BC2A82" w:rsidTr="00FE2321">
        <w:trPr>
          <w:jc w:val="center"/>
        </w:trPr>
        <w:tc>
          <w:tcPr>
            <w:tcW w:w="3871" w:type="dxa"/>
            <w:hideMark/>
          </w:tcPr>
          <w:p w:rsidR="00BC2A82" w:rsidRPr="00BC2A82" w:rsidRDefault="00BC2A82" w:rsidP="00BC2A82">
            <w:pPr>
              <w:pStyle w:val="ConsPlusNonformat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C2A8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425" w:type="dxa"/>
          </w:tcPr>
          <w:p w:rsidR="00BC2A82" w:rsidRPr="00BC2A82" w:rsidRDefault="00BC2A82" w:rsidP="00BC2A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2" w:type="dxa"/>
            <w:hideMark/>
          </w:tcPr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proofErr w:type="gramStart"/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BC2A8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составляет 1593,1 тыс. рублей, в том числе:</w:t>
            </w:r>
          </w:p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бюджет района – 1268,8 тыс. рублей;</w:t>
            </w:r>
          </w:p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A82">
              <w:rPr>
                <w:rFonts w:ascii="Times New Roman" w:hAnsi="Times New Roman" w:cs="Times New Roman"/>
                <w:sz w:val="28"/>
                <w:szCs w:val="28"/>
              </w:rPr>
              <w:t>бюджет автономного округа – 324,3 тыс. рублей</w:t>
            </w:r>
          </w:p>
          <w:p w:rsidR="00BC2A82" w:rsidRPr="00BC2A82" w:rsidRDefault="00BC2A82" w:rsidP="00BC2A8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4E33" w:rsidRPr="00BC2A82" w:rsidRDefault="00FF4E33" w:rsidP="00BC2A8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F4E33" w:rsidRPr="00BC2A82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2211EC"/>
    <w:rsid w:val="002D0BA7"/>
    <w:rsid w:val="003774AF"/>
    <w:rsid w:val="008955B9"/>
    <w:rsid w:val="00906827"/>
    <w:rsid w:val="00AC0874"/>
    <w:rsid w:val="00BA59E9"/>
    <w:rsid w:val="00BC2A82"/>
    <w:rsid w:val="00F84CF6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  <w:style w:type="paragraph" w:customStyle="1" w:styleId="ConsPlusNonformat">
    <w:name w:val="ConsPlusNonformat"/>
    <w:rsid w:val="00BC2A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cp:lastPrinted>2017-08-13T12:35:00Z</cp:lastPrinted>
  <dcterms:created xsi:type="dcterms:W3CDTF">2017-10-30T12:13:00Z</dcterms:created>
  <dcterms:modified xsi:type="dcterms:W3CDTF">2017-10-30T12:13:00Z</dcterms:modified>
</cp:coreProperties>
</file>